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74532">
      <w:pPr>
        <w:pStyle w:val="3"/>
        <w:keepNext w:val="0"/>
        <w:keepLines w:val="0"/>
        <w:pageBreakBefore w:val="0"/>
        <w:widowControl/>
        <w:suppressLineNumbers w:val="0"/>
        <w:kinsoku w:val="0"/>
        <w:wordWrap/>
        <w:overflowPunct/>
        <w:topLinePunct w:val="0"/>
        <w:autoSpaceDE w:val="0"/>
        <w:autoSpaceDN w:val="0"/>
        <w:bidi w:val="0"/>
        <w:adjustRightInd w:val="0"/>
        <w:snapToGrid w:val="0"/>
        <w:spacing w:before="300" w:beforeAutospacing="0" w:after="0" w:afterAutospacing="0" w:line="500" w:lineRule="atLeast"/>
        <w:ind w:left="147" w:right="0"/>
        <w:jc w:val="center"/>
        <w:textAlignment w:val="baseline"/>
        <w:rPr>
          <w:rFonts w:hint="eastAsia" w:ascii="方正小标宋简体" w:hAnsi="方正小标宋简体" w:eastAsia="方正小标宋简体" w:cs="方正小标宋简体"/>
          <w:b/>
          <w:bCs w:val="0"/>
          <w:kern w:val="44"/>
          <w:sz w:val="36"/>
          <w:szCs w:val="36"/>
          <w:lang w:val="en-US" w:eastAsia="zh-CN" w:bidi="ar-SA"/>
        </w:rPr>
      </w:pPr>
      <w:r>
        <w:rPr>
          <w:rFonts w:hint="eastAsia" w:ascii="方正小标宋简体" w:hAnsi="方正小标宋简体" w:eastAsia="方正小标宋简体" w:cs="方正小标宋简体"/>
          <w:b/>
          <w:bCs w:val="0"/>
          <w:kern w:val="44"/>
          <w:sz w:val="36"/>
          <w:szCs w:val="36"/>
          <w:lang w:val="en-US" w:eastAsia="zh-CN" w:bidi="ar-SA"/>
        </w:rPr>
        <w:t xml:space="preserve"> 湖南农业大学马克思主义学院2027年推荐优秀应届本科毕业生免试攻读硕士学位研究生实施细则</w:t>
      </w:r>
    </w:p>
    <w:p w14:paraId="444BCE5E">
      <w:pPr>
        <w:keepNext w:val="0"/>
        <w:keepLines w:val="0"/>
        <w:pageBreakBefore w:val="0"/>
        <w:widowControl/>
        <w:suppressLineNumbers w:val="0"/>
        <w:kinsoku/>
        <w:wordWrap/>
        <w:overflowPunct/>
        <w:topLinePunct w:val="0"/>
        <w:autoSpaceDE/>
        <w:autoSpaceDN/>
        <w:bidi w:val="0"/>
        <w:adjustRightInd/>
        <w:snapToGrid/>
        <w:spacing w:line="500" w:lineRule="atLeast"/>
        <w:jc w:val="both"/>
        <w:rPr>
          <w:rFonts w:ascii="仿宋_GB2312" w:hAnsi="仿宋_GB2312" w:eastAsia="仿宋_GB2312" w:cs="仿宋_GB2312"/>
          <w:color w:val="000000"/>
          <w:kern w:val="0"/>
          <w:sz w:val="32"/>
          <w:szCs w:val="32"/>
          <w:lang w:val="en-US" w:eastAsia="zh-CN"/>
        </w:rPr>
      </w:pPr>
      <w:r>
        <w:rPr>
          <w:rFonts w:ascii="仿宋_GB2312" w:hAnsi="仿宋_GB2312" w:eastAsia="仿宋_GB2312" w:cs="仿宋_GB2312"/>
          <w:color w:val="000000"/>
          <w:kern w:val="0"/>
          <w:sz w:val="32"/>
          <w:szCs w:val="32"/>
          <w:lang w:val="en-US" w:eastAsia="zh-CN"/>
        </w:rPr>
        <w:t xml:space="preserve">各学生班： </w:t>
      </w:r>
    </w:p>
    <w:p w14:paraId="0EC3FF0C">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ascii="仿宋_GB2312" w:hAnsi="仿宋_GB2312" w:eastAsia="仿宋_GB2312" w:cs="仿宋_GB2312"/>
          <w:color w:val="000000"/>
          <w:kern w:val="0"/>
          <w:sz w:val="32"/>
          <w:szCs w:val="32"/>
          <w:lang w:val="en-US" w:eastAsia="zh-CN"/>
        </w:rPr>
      </w:pPr>
      <w:r>
        <w:rPr>
          <w:rFonts w:ascii="仿宋_GB2312" w:hAnsi="仿宋_GB2312" w:eastAsia="仿宋_GB2312" w:cs="仿宋_GB2312"/>
          <w:color w:val="000000"/>
          <w:kern w:val="0"/>
          <w:sz w:val="32"/>
          <w:szCs w:val="32"/>
          <w:lang w:val="en-US" w:eastAsia="zh-CN"/>
        </w:rPr>
        <w:t>根据教育部有关文件精神和《湖南农业大学推荐优秀应届本科毕业生免试攻读硕士学位研究生实施办法》(以下简称《实施办法》)等文件精神，为做好我院2026</w:t>
      </w:r>
      <w:r>
        <w:rPr>
          <w:rFonts w:hint="eastAsia" w:ascii="仿宋_GB2312" w:hAnsi="仿宋_GB2312" w:eastAsia="仿宋_GB2312" w:cs="仿宋_GB2312"/>
          <w:color w:val="000000"/>
          <w:kern w:val="0"/>
          <w:sz w:val="32"/>
          <w:szCs w:val="32"/>
          <w:lang w:val="en-US" w:eastAsia="zh-CN"/>
        </w:rPr>
        <w:t>年</w:t>
      </w:r>
      <w:r>
        <w:rPr>
          <w:rFonts w:ascii="仿宋_GB2312" w:hAnsi="仿宋_GB2312" w:eastAsia="仿宋_GB2312" w:cs="仿宋_GB2312"/>
          <w:color w:val="000000"/>
          <w:kern w:val="0"/>
          <w:sz w:val="32"/>
          <w:szCs w:val="32"/>
          <w:lang w:val="en-US" w:eastAsia="zh-CN"/>
        </w:rPr>
        <w:t>推荐优秀应届本科毕业生免试攻读硕士学位研究生工作(以下简称“推免生”)工作，特制定本工作实施细则。</w:t>
      </w:r>
    </w:p>
    <w:p w14:paraId="22A2F37B">
      <w:pPr>
        <w:keepNext w:val="0"/>
        <w:keepLines w:val="0"/>
        <w:pageBreakBefore w:val="0"/>
        <w:widowControl/>
        <w:suppressLineNumbers w:val="0"/>
        <w:kinsoku/>
        <w:wordWrap/>
        <w:overflowPunct/>
        <w:topLinePunct w:val="0"/>
        <w:autoSpaceDE/>
        <w:autoSpaceDN/>
        <w:bidi w:val="0"/>
        <w:adjustRightInd/>
        <w:snapToGrid/>
        <w:spacing w:line="500" w:lineRule="atLeast"/>
        <w:ind w:firstLine="643" w:firstLineChars="200"/>
        <w:jc w:val="both"/>
        <w:rPr>
          <w:b/>
          <w:bCs/>
          <w:sz w:val="32"/>
          <w:szCs w:val="32"/>
        </w:rPr>
      </w:pPr>
      <w:r>
        <w:rPr>
          <w:rFonts w:ascii="黑体" w:hAnsi="宋体" w:eastAsia="黑体" w:cs="黑体"/>
          <w:b/>
          <w:bCs/>
          <w:color w:val="000000"/>
          <w:kern w:val="0"/>
          <w:sz w:val="32"/>
          <w:szCs w:val="32"/>
          <w:lang w:val="en-US" w:eastAsia="zh-CN"/>
        </w:rPr>
        <w:t>一、组织领导</w:t>
      </w:r>
    </w:p>
    <w:p w14:paraId="197E14B8">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132" w:right="240" w:firstLine="420"/>
        <w:jc w:val="both"/>
        <w:textAlignment w:val="baseline"/>
        <w:rPr>
          <w:rFonts w:hint="eastAsia" w:ascii="楷体" w:hAnsi="楷体" w:eastAsia="楷体" w:cs="楷体"/>
          <w:kern w:val="2"/>
          <w:sz w:val="32"/>
          <w:szCs w:val="32"/>
          <w:lang w:val="en-US" w:eastAsia="zh-CN" w:bidi="ar-SA"/>
          <w14:textOutline w14:w="5793" w14:cap="sq" w14:cmpd="sng">
            <w14:solidFill>
              <w14:srgbClr w14:val="000000"/>
            </w14:solidFill>
            <w14:prstDash w14:val="solid"/>
            <w14:bevel/>
          </w14:textOutline>
        </w:rPr>
      </w:pPr>
      <w:r>
        <w:rPr>
          <w:rFonts w:hint="eastAsia" w:ascii="楷体" w:hAnsi="楷体" w:eastAsia="楷体" w:cs="楷体"/>
          <w:kern w:val="2"/>
          <w:sz w:val="32"/>
          <w:szCs w:val="32"/>
          <w:lang w:val="en-US" w:eastAsia="zh-CN" w:bidi="ar-SA"/>
          <w14:textOutline w14:w="5793" w14:cap="sq" w14:cmpd="sng">
            <w14:solidFill>
              <w14:srgbClr w14:val="000000"/>
            </w14:solidFill>
            <w14:prstDash w14:val="solid"/>
            <w14:bevel/>
          </w14:textOutline>
        </w:rPr>
        <w:t>（一）推免生推荐工作小组</w:t>
      </w:r>
    </w:p>
    <w:p w14:paraId="616401C4">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组  长：胡艺华  汤帮耀</w:t>
      </w:r>
    </w:p>
    <w:p w14:paraId="01DE1FFE">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副组长：王伟伟  黄佳彦</w:t>
      </w:r>
    </w:p>
    <w:p w14:paraId="70C206AC">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成  员：陈向科  邹  娣  谢爱军  罗  杰  周楚凡</w:t>
      </w:r>
    </w:p>
    <w:p w14:paraId="50A9608A">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推免工作办公室设在学工办。</w:t>
      </w:r>
    </w:p>
    <w:p w14:paraId="7122BD54">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职  责：负责制定学院推免生推荐工作实施细则，按程序提出学院推荐名单，提交学院学术委员会和学院党政联席会议决定。</w:t>
      </w:r>
    </w:p>
    <w:p w14:paraId="40109E6A">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132" w:right="240" w:firstLine="420"/>
        <w:jc w:val="both"/>
        <w:textAlignment w:val="baseline"/>
        <w:rPr>
          <w:rFonts w:hint="eastAsia" w:ascii="楷体" w:hAnsi="楷体" w:eastAsia="楷体" w:cs="楷体"/>
          <w:kern w:val="2"/>
          <w:sz w:val="32"/>
          <w:szCs w:val="32"/>
          <w:highlight w:val="none"/>
          <w:lang w:val="en-US" w:eastAsia="zh-CN" w:bidi="ar-SA"/>
          <w14:textOutline w14:w="5793" w14:cap="sq" w14:cmpd="sng">
            <w14:solidFill>
              <w14:srgbClr w14:val="000000"/>
            </w14:solidFill>
            <w14:prstDash w14:val="solid"/>
            <w14:bevel/>
          </w14:textOutline>
        </w:rPr>
      </w:pPr>
      <w:r>
        <w:rPr>
          <w:rFonts w:hint="eastAsia" w:ascii="楷体" w:hAnsi="楷体" w:eastAsia="楷体" w:cs="楷体"/>
          <w:kern w:val="2"/>
          <w:sz w:val="32"/>
          <w:szCs w:val="32"/>
          <w:highlight w:val="none"/>
          <w:lang w:val="en-US" w:eastAsia="zh-CN" w:bidi="ar-SA"/>
          <w14:textOutline w14:w="5793" w14:cap="sq" w14:cmpd="sng">
            <w14:solidFill>
              <w14:srgbClr w14:val="000000"/>
            </w14:solidFill>
            <w14:prstDash w14:val="solid"/>
            <w14:bevel/>
          </w14:textOutline>
        </w:rPr>
        <w:t>（二）专家审核小组</w:t>
      </w:r>
    </w:p>
    <w:p w14:paraId="181E02BB">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组  长：熊  亮</w:t>
      </w:r>
    </w:p>
    <w:p w14:paraId="330A9971">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副组长：</w:t>
      </w:r>
      <w:r>
        <w:rPr>
          <w:rFonts w:hint="default" w:ascii="仿宋_GB2312" w:hAnsi="仿宋_GB2312" w:eastAsia="仿宋_GB2312" w:cs="仿宋_GB2312"/>
          <w:color w:val="000000"/>
          <w:kern w:val="0"/>
          <w:sz w:val="32"/>
          <w:szCs w:val="32"/>
          <w:lang w:val="en-US" w:eastAsia="zh-CN"/>
        </w:rPr>
        <w:t>黄  诚</w:t>
      </w:r>
    </w:p>
    <w:p w14:paraId="640953F0">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成  员：</w:t>
      </w:r>
      <w:r>
        <w:rPr>
          <w:rFonts w:hint="default" w:ascii="仿宋_GB2312" w:hAnsi="仿宋_GB2312" w:eastAsia="仿宋_GB2312" w:cs="仿宋_GB2312"/>
          <w:color w:val="000000"/>
          <w:kern w:val="0"/>
          <w:sz w:val="32"/>
          <w:szCs w:val="32"/>
          <w:lang w:val="en-US" w:eastAsia="zh-CN"/>
        </w:rPr>
        <w:t>胡艺华  王伟伟  杨  芳  陈向科  曹威伟  谭铁军</w:t>
      </w:r>
    </w:p>
    <w:p w14:paraId="44A58BD9">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职  责：负责对申请推免资格学生的科研创新成果、论文、竞赛获奖奖项及内容进行审核鉴定，排除抄袭、造假、冒名及有名无实等情况，并组织学生在学院一定范围内进行公开答辩。对学生提交的多篇科研成果实行代表作评价，评价重点聚焦创新质量和个人贡献。</w:t>
      </w:r>
    </w:p>
    <w:p w14:paraId="01BCD915">
      <w:pPr>
        <w:keepNext w:val="0"/>
        <w:keepLines w:val="0"/>
        <w:pageBreakBefore w:val="0"/>
        <w:widowControl/>
        <w:suppressLineNumbers w:val="0"/>
        <w:kinsoku/>
        <w:wordWrap/>
        <w:overflowPunct/>
        <w:topLinePunct w:val="0"/>
        <w:autoSpaceDE/>
        <w:autoSpaceDN/>
        <w:bidi w:val="0"/>
        <w:adjustRightInd/>
        <w:snapToGrid/>
        <w:spacing w:line="500" w:lineRule="atLeast"/>
        <w:ind w:firstLine="643" w:firstLineChars="200"/>
        <w:jc w:val="both"/>
        <w:rPr>
          <w:rFonts w:hint="default" w:ascii="黑体" w:hAnsi="宋体" w:eastAsia="黑体" w:cs="黑体"/>
          <w:b/>
          <w:bCs/>
          <w:color w:val="000000"/>
          <w:kern w:val="0"/>
          <w:sz w:val="32"/>
          <w:szCs w:val="32"/>
          <w:lang w:val="en-US" w:eastAsia="zh-CN"/>
        </w:rPr>
      </w:pPr>
      <w:r>
        <w:rPr>
          <w:rFonts w:hint="eastAsia" w:ascii="黑体" w:hAnsi="宋体" w:eastAsia="黑体" w:cs="黑体"/>
          <w:b/>
          <w:bCs/>
          <w:color w:val="000000"/>
          <w:kern w:val="0"/>
          <w:sz w:val="32"/>
          <w:szCs w:val="32"/>
          <w:lang w:val="en-US" w:eastAsia="zh-CN"/>
        </w:rPr>
        <w:t>二、推荐条件</w:t>
      </w:r>
    </w:p>
    <w:p w14:paraId="1B10D994">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1.纳入国家普通本科招生计划录取的应届毕业生（不含专升本、公费师范生、农技特岗生、水利特岗生、独立学院学生等国家政策规定及其他入学时已规定不能参加推免的学生）。</w:t>
      </w:r>
    </w:p>
    <w:p w14:paraId="7077BC02">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品行优良。德智体美劳全面发展，以德为先，遵守高等学校学生行为准则，履行高等学校学生义务；本科在读期间已获得校级及以上荣誉、奖励；无剽窃他人学术成果等学术不端行为记录，无违法违纪受处分记录。对本科在读期间曾获校级及以上荣誉、奖励的范围界定为：三好学生标兵、三好学生、优秀共产党员、优秀共青团员、优秀学生干部、优秀团干、国家奖学金、国家励志奖学金、自强之星、最美大学生以及领导小组认定的其他校级及以上荣誉、奖励。</w:t>
      </w:r>
    </w:p>
    <w:p w14:paraId="3C74903D">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 xml:space="preserve">3.学业优秀。修完并通过所属专业第1至第6学期（五年制专业的第1至第8学期）教学计划所规定的全部应修课程；所修全部课程平均成绩（首次考核成绩的学分加权平均分）在本专业排名前20%以内（含）；学生全国大学英语四级成绩≥425分（雅思成绩≥5.5分）或全国大学英语六级成绩≥425分。 </w:t>
      </w:r>
    </w:p>
    <w:p w14:paraId="28B6571B">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4.身心健康。身体健康状况符合教育部、国家卫生健康委员会、国家残疾人联合会等部门最新发布的普通高等学校招生体检工作指导意见标准。</w:t>
      </w:r>
    </w:p>
    <w:p w14:paraId="29F53A4C">
      <w:pPr>
        <w:keepNext w:val="0"/>
        <w:keepLines w:val="0"/>
        <w:pageBreakBefore w:val="0"/>
        <w:widowControl/>
        <w:suppressLineNumbers w:val="0"/>
        <w:kinsoku/>
        <w:wordWrap/>
        <w:overflowPunct/>
        <w:topLinePunct w:val="0"/>
        <w:autoSpaceDE/>
        <w:autoSpaceDN/>
        <w:bidi w:val="0"/>
        <w:adjustRightInd/>
        <w:snapToGrid/>
        <w:spacing w:line="500" w:lineRule="atLeast"/>
        <w:ind w:firstLine="643" w:firstLineChars="200"/>
        <w:jc w:val="both"/>
        <w:rPr>
          <w:rFonts w:hint="eastAsia" w:ascii="黑体" w:hAnsi="宋体" w:eastAsia="黑体" w:cs="黑体"/>
          <w:b/>
          <w:bCs/>
          <w:color w:val="000000"/>
          <w:kern w:val="0"/>
          <w:sz w:val="32"/>
          <w:szCs w:val="32"/>
          <w:lang w:val="en-US" w:eastAsia="zh-CN"/>
        </w:rPr>
      </w:pPr>
      <w:r>
        <w:rPr>
          <w:rFonts w:hint="eastAsia" w:ascii="黑体" w:hAnsi="宋体" w:eastAsia="黑体" w:cs="黑体"/>
          <w:b/>
          <w:bCs/>
          <w:color w:val="000000"/>
          <w:kern w:val="0"/>
          <w:sz w:val="32"/>
          <w:szCs w:val="32"/>
          <w:lang w:val="en-US" w:eastAsia="zh-CN"/>
        </w:rPr>
        <w:t>三、推荐工作程序</w:t>
      </w:r>
    </w:p>
    <w:p w14:paraId="54F20DCE">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1.学生提交申请。符合申请条件的学生需将申请表及相关附件材料（申报材料需提供原件，并提供与原件相符的复印件）于2026年9月6日上午10：00之前集中提交至学工办（十教北516）。逾期不予接收补充申报材料。</w:t>
      </w:r>
    </w:p>
    <w:p w14:paraId="0710A859">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2.资格审查。由学院学工办、教务办对提出申请的学生进行资格审查。（9月6日17：00前完成）</w:t>
      </w:r>
    </w:p>
    <w:p w14:paraId="587631E6">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3.专家审核鉴定。（9月7日12：00前完成）</w:t>
      </w:r>
    </w:p>
    <w:p w14:paraId="545BD41D">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4.学院学术委员会审批、学院党政联席会议审定。（9</w:t>
      </w:r>
    </w:p>
    <w:p w14:paraId="283EA87B">
      <w:pPr>
        <w:keepNext w:val="0"/>
        <w:keepLines w:val="0"/>
        <w:pageBreakBefore w:val="0"/>
        <w:widowControl/>
        <w:suppressLineNumbers w:val="0"/>
        <w:kinsoku/>
        <w:wordWrap/>
        <w:overflowPunct/>
        <w:topLinePunct w:val="0"/>
        <w:autoSpaceDE/>
        <w:autoSpaceDN/>
        <w:bidi w:val="0"/>
        <w:adjustRightInd/>
        <w:snapToGrid/>
        <w:spacing w:line="500" w:lineRule="atLeast"/>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月7日前完成）</w:t>
      </w:r>
    </w:p>
    <w:p w14:paraId="7D291FCC">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黑体" w:hAnsi="黑体" w:eastAsia="黑体" w:cs="黑体"/>
          <w:b/>
          <w:bCs/>
          <w:snapToGrid w:val="0"/>
          <w:color w:val="000000"/>
          <w:spacing w:val="17"/>
          <w:kern w:val="0"/>
          <w:sz w:val="32"/>
          <w:szCs w:val="32"/>
        </w:rPr>
      </w:pPr>
      <w:r>
        <w:rPr>
          <w:rFonts w:hint="eastAsia" w:ascii="仿宋_GB2312" w:hAnsi="仿宋_GB2312" w:eastAsia="仿宋_GB2312" w:cs="仿宋_GB2312"/>
          <w:color w:val="000000"/>
          <w:kern w:val="0"/>
          <w:sz w:val="32"/>
          <w:szCs w:val="32"/>
          <w:lang w:val="en-US" w:eastAsia="zh-CN"/>
        </w:rPr>
        <w:t>5.结果公示。（9月8日-11日）</w:t>
      </w:r>
    </w:p>
    <w:p w14:paraId="121D4E8F">
      <w:pPr>
        <w:keepNext w:val="0"/>
        <w:keepLines w:val="0"/>
        <w:pageBreakBefore w:val="0"/>
        <w:widowControl/>
        <w:suppressLineNumbers w:val="0"/>
        <w:kinsoku/>
        <w:wordWrap/>
        <w:overflowPunct/>
        <w:topLinePunct w:val="0"/>
        <w:autoSpaceDE/>
        <w:autoSpaceDN/>
        <w:bidi w:val="0"/>
        <w:adjustRightInd/>
        <w:snapToGrid/>
        <w:spacing w:line="500" w:lineRule="atLeast"/>
        <w:ind w:firstLine="643" w:firstLineChars="200"/>
        <w:jc w:val="both"/>
        <w:rPr>
          <w:rFonts w:hint="eastAsia" w:ascii="黑体" w:hAnsi="宋体" w:eastAsia="黑体" w:cs="黑体"/>
          <w:b/>
          <w:bCs/>
          <w:color w:val="000000"/>
          <w:kern w:val="0"/>
          <w:sz w:val="32"/>
          <w:szCs w:val="32"/>
          <w:lang w:val="en-US" w:eastAsia="zh-CN"/>
        </w:rPr>
      </w:pPr>
      <w:r>
        <w:rPr>
          <w:rFonts w:hint="eastAsia" w:ascii="黑体" w:hAnsi="宋体" w:eastAsia="黑体" w:cs="黑体"/>
          <w:b/>
          <w:bCs/>
          <w:color w:val="000000"/>
          <w:kern w:val="0"/>
          <w:sz w:val="32"/>
          <w:szCs w:val="32"/>
          <w:lang w:val="en-US" w:eastAsia="zh-CN"/>
        </w:rPr>
        <w:t>四、综合评价成绩组成</w:t>
      </w:r>
    </w:p>
    <w:p w14:paraId="665410F9">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学院对申请推免的学生进行综合评价，综合评价成绩=课程平均成绩（首次考核成绩的学分加权平均分）*0.8+其他测评成绩*0.2。</w:t>
      </w:r>
    </w:p>
    <w:p w14:paraId="154AB6AD">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楷体" w:hAnsi="楷体" w:eastAsia="楷体" w:cs="楷体"/>
          <w:kern w:val="2"/>
          <w:sz w:val="32"/>
          <w:szCs w:val="32"/>
          <w:lang w:val="en-US" w:eastAsia="zh-CN" w:bidi="ar-SA"/>
          <w14:textOutline w14:w="5793" w14:cap="sq" w14:cmpd="sng">
            <w14:solidFill>
              <w14:srgbClr w14:val="000000"/>
            </w14:solidFill>
            <w14:prstDash w14:val="solid"/>
            <w14:bevel/>
          </w14:textOutline>
        </w:rPr>
      </w:pPr>
      <w:r>
        <w:rPr>
          <w:rFonts w:hint="eastAsia" w:ascii="楷体" w:hAnsi="楷体" w:eastAsia="楷体" w:cs="楷体"/>
          <w:kern w:val="2"/>
          <w:sz w:val="32"/>
          <w:szCs w:val="32"/>
          <w:lang w:val="en-US" w:eastAsia="zh-CN" w:bidi="ar-SA"/>
          <w14:textOutline w14:w="5793" w14:cap="sq" w14:cmpd="sng">
            <w14:solidFill>
              <w14:srgbClr w14:val="000000"/>
            </w14:solidFill>
            <w14:prstDash w14:val="solid"/>
            <w14:bevel/>
          </w14:textOutline>
        </w:rPr>
        <w:t xml:space="preserve">（一）课程平均成绩 </w:t>
      </w:r>
    </w:p>
    <w:p w14:paraId="758BC0C3">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highlight w:val="none"/>
          <w:lang w:val="en-US" w:eastAsia="zh-CN"/>
        </w:rPr>
      </w:pPr>
      <w:r>
        <w:rPr>
          <w:rFonts w:hint="eastAsia" w:ascii="仿宋_GB2312" w:hAnsi="仿宋_GB2312" w:eastAsia="仿宋_GB2312" w:cs="仿宋_GB2312"/>
          <w:color w:val="000000"/>
          <w:kern w:val="0"/>
          <w:sz w:val="32"/>
          <w:szCs w:val="32"/>
          <w:lang w:val="en-US" w:eastAsia="zh-CN"/>
        </w:rPr>
        <w:t>课程指所属专业教学计划所规定的前3年全部应修课程。第一至第六学期所修全部课程平均成绩(首次考核成绩的学分加权平均分)。</w:t>
      </w:r>
    </w:p>
    <w:p w14:paraId="0FCDDD19">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 w:hAnsi="仿宋" w:eastAsia="仿宋" w:cs="仿宋"/>
          <w:b/>
          <w:bCs/>
          <w:snapToGrid w:val="0"/>
          <w:color w:val="000000"/>
          <w:spacing w:val="-11"/>
          <w:kern w:val="0"/>
          <w:sz w:val="32"/>
          <w:szCs w:val="32"/>
          <w:highlight w:val="none"/>
          <w:lang w:eastAsia="zh-CN"/>
        </w:rPr>
      </w:pPr>
      <w:r>
        <w:rPr>
          <w:rFonts w:hint="default" w:ascii="楷体" w:hAnsi="楷体" w:eastAsia="楷体" w:cs="楷体"/>
          <w:kern w:val="2"/>
          <w:sz w:val="32"/>
          <w:szCs w:val="32"/>
          <w:highlight w:val="none"/>
          <w:lang w:val="en-US" w:eastAsia="zh-CN" w:bidi="ar-SA"/>
          <w14:textOutline w14:w="5793" w14:cap="sq" w14:cmpd="sng">
            <w14:solidFill>
              <w14:srgbClr w14:val="000000"/>
            </w14:solidFill>
            <w14:prstDash w14:val="solid"/>
            <w14:bevel/>
          </w14:textOutline>
        </w:rPr>
        <w:t>（二）</w:t>
      </w:r>
      <w:r>
        <w:rPr>
          <w:rFonts w:hint="eastAsia" w:ascii="楷体" w:hAnsi="楷体" w:eastAsia="楷体" w:cs="楷体"/>
          <w:kern w:val="2"/>
          <w:sz w:val="32"/>
          <w:szCs w:val="32"/>
          <w:highlight w:val="none"/>
          <w:lang w:val="en-US" w:eastAsia="zh-CN" w:bidi="ar-SA"/>
          <w14:textOutline w14:w="5793" w14:cap="sq" w14:cmpd="sng">
            <w14:solidFill>
              <w14:srgbClr w14:val="000000"/>
            </w14:solidFill>
            <w14:prstDash w14:val="solid"/>
            <w14:bevel/>
          </w14:textOutline>
        </w:rPr>
        <w:t>其他测评成绩</w:t>
      </w:r>
    </w:p>
    <w:p w14:paraId="59B58827">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其他测评成绩采用百分制，成绩为100分。测评内容包括学生参军入伍服兵役、参加志愿服务、参加国际组织实习、发表论文、科研课题、专利、获得竞赛获奖等项目。学生在同一项目获得多项奖励只取最高分，单项加分的最高分值不超过20分。所有参与推免生测评、加分的奖励、荣誉、发明、专利、论文、著作、竞赛等认定，截止日期为2026年9月1日。</w:t>
      </w:r>
    </w:p>
    <w:p w14:paraId="64849D10">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1.参军入伍服兵役者（5分）</w:t>
      </w:r>
    </w:p>
    <w:p w14:paraId="3FE52E1B">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2.参加志愿服务（10分）</w:t>
      </w:r>
    </w:p>
    <w:p w14:paraId="413284AD">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（1）参加校团委组织的各类省级及以上志愿活动并持有相关证书的计３分；参加审核小组认定的其他志愿服务活动，持有相关证书或证明材料的计１分；以上不累积计分，只取最高分，本项最高计３分。</w:t>
      </w:r>
    </w:p>
    <w:p w14:paraId="4DE56E5F">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（2）参加社会实践：获得省级优秀暑期三下乡优秀个人计５分、团中央暑期三下乡优秀个人计</w:t>
      </w:r>
      <w:r>
        <w:rPr>
          <w:rFonts w:hint="default"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lang w:val="en-US" w:eastAsia="zh-CN"/>
        </w:rPr>
        <w:t>分，获团中央表彰的个人社会实践活动计</w:t>
      </w:r>
      <w:r>
        <w:rPr>
          <w:rFonts w:hint="default"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lang w:val="en-US" w:eastAsia="zh-CN"/>
        </w:rPr>
        <w:t>分。以上不累积计分，只取最高分，本项最高计</w:t>
      </w:r>
      <w:r>
        <w:rPr>
          <w:rFonts w:hint="default" w:ascii="仿宋_GB2312" w:hAnsi="仿宋_GB2312" w:eastAsia="仿宋_GB2312" w:cs="仿宋_GB2312"/>
          <w:color w:val="000000"/>
          <w:kern w:val="0"/>
          <w:sz w:val="32"/>
          <w:szCs w:val="32"/>
          <w:lang w:val="en-US" w:eastAsia="zh-CN"/>
        </w:rPr>
        <w:t>10</w:t>
      </w:r>
      <w:r>
        <w:rPr>
          <w:rFonts w:hint="eastAsia" w:ascii="仿宋_GB2312" w:hAnsi="仿宋_GB2312" w:eastAsia="仿宋_GB2312" w:cs="仿宋_GB2312"/>
          <w:color w:val="000000"/>
          <w:kern w:val="0"/>
          <w:sz w:val="32"/>
          <w:szCs w:val="32"/>
          <w:lang w:val="en-US" w:eastAsia="zh-CN"/>
        </w:rPr>
        <w:t>分。</w:t>
      </w:r>
    </w:p>
    <w:p w14:paraId="182F2E46">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highlight w:val="yellow"/>
          <w:lang w:val="en-US" w:eastAsia="zh-CN" w:bidi="ar-SA"/>
        </w:rPr>
      </w:pPr>
      <w:r>
        <w:rPr>
          <w:rFonts w:hint="eastAsia" w:ascii="仿宋_GB2312" w:hAnsi="仿宋_GB2312" w:eastAsia="仿宋_GB2312" w:cs="仿宋_GB2312"/>
          <w:b/>
          <w:bCs/>
          <w:color w:val="000000"/>
          <w:kern w:val="0"/>
          <w:sz w:val="32"/>
          <w:szCs w:val="32"/>
          <w:lang w:val="en-US" w:eastAsia="zh-CN" w:bidi="ar-SA"/>
        </w:rPr>
        <w:t>3.参加国际组织实习（5分）</w:t>
      </w:r>
    </w:p>
    <w:p w14:paraId="557D2DA9">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SA"/>
        </w:rPr>
        <w:t>4.学术论文（20分）</w:t>
      </w:r>
    </w:p>
    <w:p w14:paraId="1C755970">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right="238" w:firstLine="640" w:firstLineChars="200"/>
        <w:jc w:val="both"/>
        <w:textAlignment w:val="baseline"/>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以湖南农业大学为第一署名单位、第一作者公开发表的与本专业相关的学术论文。被SCI、SSCI或CSSCI期刊收录的计20分；被全国中文核心期刊、CSSCI（含扩展版、集刊）、AMI（中国人文社会科学期刊）或本科大学学报收录的计18分；在省级以上的报纸发表理论文章或在“学习强国”平台、“新湖南”“湖南红网”、重点理论微信公众号等新媒体刊发或转载并产生较大影响的理论文章（2000字以上，浏览量10万+）计15分。</w:t>
      </w:r>
    </w:p>
    <w:p w14:paraId="23E64E7C">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SA"/>
        </w:rPr>
        <w:t>5.科研项目或课题（10分）</w:t>
      </w:r>
    </w:p>
    <w:p w14:paraId="5E50E616">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0" w:firstLineChars="200"/>
        <w:jc w:val="both"/>
        <w:textAlignment w:val="baseline"/>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以湖南农业大学马克思主义学院为第一署名单位的大学生课题或项目。主持国家级课题者计8分、省级课题计5分；已经结题或者获奖的项目，以结题证书或获奖证书的有效排名为依据，排名第2-5名分别按 0.8、0.6、0.4、0.2 的权重计分。</w:t>
      </w:r>
    </w:p>
    <w:p w14:paraId="5F6A7ECC">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highlight w:val="none"/>
          <w:lang w:val="en-US" w:eastAsia="zh-CN" w:bidi="ar-SA"/>
        </w:rPr>
      </w:pPr>
      <w:r>
        <w:rPr>
          <w:rFonts w:hint="eastAsia" w:ascii="仿宋_GB2312" w:hAnsi="仿宋_GB2312" w:eastAsia="仿宋_GB2312" w:cs="仿宋_GB2312"/>
          <w:b/>
          <w:bCs/>
          <w:color w:val="000000"/>
          <w:kern w:val="0"/>
          <w:sz w:val="32"/>
          <w:szCs w:val="32"/>
          <w:highlight w:val="none"/>
          <w:lang w:val="en-US" w:eastAsia="zh-CN" w:bidi="ar-SA"/>
        </w:rPr>
        <w:t>6.专利（10分）</w:t>
      </w:r>
    </w:p>
    <w:p w14:paraId="5F7B6E3B">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0" w:firstLineChars="200"/>
        <w:jc w:val="both"/>
        <w:textAlignment w:val="baseline"/>
        <w:rPr>
          <w:rFonts w:hint="default" w:ascii="仿宋_GB2312" w:hAnsi="仿宋_GB2312" w:eastAsia="仿宋_GB2312" w:cs="仿宋_GB2312"/>
          <w:color w:val="000000"/>
          <w:kern w:val="0"/>
          <w:sz w:val="32"/>
          <w:szCs w:val="32"/>
          <w:highlight w:val="none"/>
          <w:lang w:val="en-US" w:eastAsia="zh-CN" w:bidi="ar-SA"/>
        </w:rPr>
      </w:pPr>
      <w:r>
        <w:rPr>
          <w:rFonts w:hint="default" w:ascii="仿宋_GB2312" w:hAnsi="仿宋_GB2312" w:eastAsia="仿宋_GB2312" w:cs="仿宋_GB2312"/>
          <w:color w:val="000000"/>
          <w:kern w:val="0"/>
          <w:sz w:val="32"/>
          <w:szCs w:val="32"/>
          <w:highlight w:val="none"/>
          <w:lang w:val="en-US" w:eastAsia="zh-CN" w:bidi="ar-SA"/>
        </w:rPr>
        <w:t>以湖南农业大学为第一署名单位、第一作者公开</w:t>
      </w:r>
      <w:r>
        <w:rPr>
          <w:rFonts w:hint="eastAsia" w:ascii="仿宋_GB2312" w:hAnsi="仿宋_GB2312" w:eastAsia="仿宋_GB2312" w:cs="仿宋_GB2312"/>
          <w:color w:val="000000"/>
          <w:kern w:val="0"/>
          <w:sz w:val="32"/>
          <w:szCs w:val="32"/>
          <w:highlight w:val="none"/>
          <w:lang w:val="en-US" w:eastAsia="zh-CN" w:bidi="ar-SA"/>
        </w:rPr>
        <w:t>获得</w:t>
      </w:r>
      <w:r>
        <w:rPr>
          <w:rFonts w:hint="default" w:ascii="仿宋_GB2312" w:hAnsi="仿宋_GB2312" w:eastAsia="仿宋_GB2312" w:cs="仿宋_GB2312"/>
          <w:color w:val="000000"/>
          <w:kern w:val="0"/>
          <w:sz w:val="32"/>
          <w:szCs w:val="32"/>
          <w:highlight w:val="none"/>
          <w:lang w:val="en-US" w:eastAsia="zh-CN" w:bidi="ar-SA"/>
        </w:rPr>
        <w:t>的与本专业相关的</w:t>
      </w:r>
      <w:r>
        <w:rPr>
          <w:rFonts w:hint="eastAsia" w:ascii="仿宋_GB2312" w:hAnsi="仿宋_GB2312" w:eastAsia="仿宋_GB2312" w:cs="仿宋_GB2312"/>
          <w:color w:val="000000"/>
          <w:kern w:val="0"/>
          <w:sz w:val="32"/>
          <w:szCs w:val="32"/>
          <w:highlight w:val="none"/>
          <w:lang w:val="en-US" w:eastAsia="zh-CN" w:bidi="ar-SA"/>
        </w:rPr>
        <w:t>专利计10分。</w:t>
      </w:r>
    </w:p>
    <w:p w14:paraId="0CFCCF1B">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default" w:ascii="方正仿宋_GB2312" w:hAnsi="方正仿宋_GB2312" w:eastAsia="方正仿宋_GB2312" w:cs="方正仿宋_GB2312"/>
          <w:b/>
          <w:bCs/>
          <w:snapToGrid w:val="0"/>
          <w:color w:val="000000"/>
          <w:spacing w:val="-11"/>
          <w:kern w:val="0"/>
          <w:sz w:val="32"/>
          <w:szCs w:val="32"/>
          <w:highlight w:val="none"/>
          <w:lang w:val="en-US" w:eastAsia="zh-CN"/>
        </w:rPr>
      </w:pPr>
      <w:r>
        <w:rPr>
          <w:rFonts w:hint="eastAsia" w:ascii="仿宋_GB2312" w:hAnsi="仿宋_GB2312" w:eastAsia="仿宋_GB2312" w:cs="仿宋_GB2312"/>
          <w:b/>
          <w:bCs/>
          <w:color w:val="000000"/>
          <w:kern w:val="0"/>
          <w:sz w:val="32"/>
          <w:szCs w:val="32"/>
          <w:highlight w:val="none"/>
          <w:lang w:val="en-US" w:eastAsia="zh-CN" w:bidi="ar-SA"/>
        </w:rPr>
        <w:t xml:space="preserve">7.竞赛获奖（20分） </w:t>
      </w:r>
    </w:p>
    <w:p w14:paraId="5F617FAE">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00" w:lineRule="atLeast"/>
        <w:ind w:right="238"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竞赛获奖项目参考《湖南农业大学学生竞赛奖励办法》（湘农大发〔2023〕98 号），具体见</w:t>
      </w:r>
      <w:r>
        <w:rPr>
          <w:rFonts w:hint="eastAsia" w:ascii="仿宋" w:hAnsi="仿宋" w:eastAsia="仿宋" w:cs="仿宋"/>
          <w:snapToGrid w:val="0"/>
          <w:color w:val="000000"/>
          <w:spacing w:val="-11"/>
          <w:kern w:val="0"/>
          <w:sz w:val="33"/>
          <w:szCs w:val="33"/>
          <w:highlight w:val="none"/>
          <w:lang w:eastAsia="zh-CN"/>
        </w:rPr>
        <w:t>《学生竞赛奖励项目与奖金标准》。</w:t>
      </w:r>
      <w:r>
        <w:rPr>
          <w:rFonts w:hint="eastAsia" w:ascii="仿宋" w:hAnsi="仿宋" w:eastAsia="仿宋" w:cs="仿宋"/>
          <w:snapToGrid w:val="0"/>
          <w:color w:val="000000"/>
          <w:spacing w:val="-11"/>
          <w:kern w:val="0"/>
          <w:sz w:val="33"/>
          <w:szCs w:val="33"/>
          <w:highlight w:val="none"/>
        </w:rPr>
        <w:t>国家级全国赛获奖：一等奖</w:t>
      </w:r>
      <w:r>
        <w:rPr>
          <w:rFonts w:hint="eastAsia" w:ascii="仿宋" w:hAnsi="仿宋" w:eastAsia="仿宋" w:cs="仿宋"/>
          <w:snapToGrid w:val="0"/>
          <w:color w:val="000000"/>
          <w:spacing w:val="-11"/>
          <w:kern w:val="0"/>
          <w:sz w:val="33"/>
          <w:szCs w:val="33"/>
          <w:highlight w:val="none"/>
          <w:lang w:val="en-US" w:eastAsia="zh-CN"/>
        </w:rPr>
        <w:t>20</w:t>
      </w:r>
      <w:r>
        <w:rPr>
          <w:rFonts w:hint="eastAsia" w:ascii="仿宋" w:hAnsi="仿宋" w:eastAsia="仿宋" w:cs="仿宋"/>
          <w:snapToGrid w:val="0"/>
          <w:color w:val="000000"/>
          <w:spacing w:val="-11"/>
          <w:kern w:val="0"/>
          <w:sz w:val="33"/>
          <w:szCs w:val="33"/>
          <w:highlight w:val="none"/>
        </w:rPr>
        <w:t>分，二等奖</w:t>
      </w:r>
      <w:r>
        <w:rPr>
          <w:rFonts w:hint="eastAsia" w:ascii="仿宋" w:hAnsi="仿宋" w:eastAsia="仿宋" w:cs="仿宋"/>
          <w:snapToGrid w:val="0"/>
          <w:color w:val="000000"/>
          <w:spacing w:val="-11"/>
          <w:kern w:val="0"/>
          <w:sz w:val="33"/>
          <w:szCs w:val="33"/>
          <w:highlight w:val="none"/>
          <w:lang w:val="en-US" w:eastAsia="zh-CN"/>
        </w:rPr>
        <w:t>18</w:t>
      </w:r>
      <w:r>
        <w:rPr>
          <w:rFonts w:hint="eastAsia" w:ascii="仿宋_GB2312" w:hAnsi="仿宋_GB2312" w:eastAsia="仿宋_GB2312" w:cs="仿宋_GB2312"/>
          <w:color w:val="000000"/>
          <w:kern w:val="0"/>
          <w:sz w:val="32"/>
          <w:szCs w:val="32"/>
          <w:highlight w:val="none"/>
          <w:lang w:val="en-US" w:eastAsia="zh-CN" w:bidi="ar-SA"/>
        </w:rPr>
        <w:t>分，三等奖15分。竞赛只设名次不设等级的，按名次对应的相应等级计分：第１名对应一等奖，第2-3名对应二等奖，第4-6名对应三等奖。没有设置奖励等级的按照二等奖计分。国际赛事参照执行，但</w:t>
      </w:r>
      <w:r>
        <w:rPr>
          <w:rFonts w:hint="eastAsia" w:ascii="仿宋_GB2312" w:hAnsi="仿宋_GB2312" w:eastAsia="仿宋_GB2312" w:cs="仿宋_GB2312"/>
          <w:color w:val="000000"/>
          <w:kern w:val="0"/>
          <w:sz w:val="32"/>
          <w:szCs w:val="32"/>
          <w:lang w:val="en-US" w:eastAsia="zh-CN" w:bidi="ar-SA"/>
        </w:rPr>
        <w:t>不得低于国内赛事相关要求。其中全国赛团体奖个人排名计分权重分配表如下：</w:t>
      </w:r>
    </w:p>
    <w:p w14:paraId="61DCDDC8">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60" w:right="12" w:firstLine="420"/>
        <w:jc w:val="both"/>
        <w:textAlignment w:val="baseline"/>
        <w:rPr>
          <w:rFonts w:hint="default" w:ascii="仿宋" w:hAnsi="仿宋" w:eastAsia="仿宋" w:cs="仿宋"/>
          <w:b/>
          <w:bCs/>
          <w:snapToGrid w:val="0"/>
          <w:color w:val="000000"/>
          <w:spacing w:val="-11"/>
          <w:kern w:val="0"/>
          <w:sz w:val="33"/>
          <w:szCs w:val="33"/>
          <w:lang w:val="en-US" w:eastAsia="zh-CN"/>
        </w:rPr>
      </w:pPr>
      <w:r>
        <w:rPr>
          <w:rFonts w:hint="eastAsia" w:ascii="宋体" w:hAnsi="宋体" w:eastAsia="宋体" w:cs="宋体"/>
          <w:color w:val="000000"/>
          <w:sz w:val="21"/>
          <w:szCs w:val="21"/>
          <w:shd w:val="clear" w:color="auto" w:fill="FFFFFF"/>
        </w:rPr>
        <w:drawing>
          <wp:inline distT="0" distB="0" distL="0" distR="0">
            <wp:extent cx="4806950" cy="3331210"/>
            <wp:effectExtent l="0" t="0" r="12700" b="2540"/>
            <wp:docPr id="1026" name="图片 1" descr="W020230923022143411858.png"/>
            <wp:cNvGraphicFramePr/>
            <a:graphic xmlns:a="http://schemas.openxmlformats.org/drawingml/2006/main">
              <a:graphicData uri="http://schemas.openxmlformats.org/drawingml/2006/picture">
                <pic:pic xmlns:pic="http://schemas.openxmlformats.org/drawingml/2006/picture">
                  <pic:nvPicPr>
                    <pic:cNvPr id="1026" name="图片 1" descr="W020230923022143411858.png"/>
                    <pic:cNvPicPr/>
                  </pic:nvPicPr>
                  <pic:blipFill>
                    <a:blip r:embed="rId4" cstate="print"/>
                    <a:srcRect/>
                    <a:stretch>
                      <a:fillRect/>
                    </a:stretch>
                  </pic:blipFill>
                  <pic:spPr>
                    <a:xfrm>
                      <a:off x="0" y="0"/>
                      <a:ext cx="4806950" cy="3331210"/>
                    </a:xfrm>
                    <a:prstGeom prst="rect">
                      <a:avLst/>
                    </a:prstGeom>
                    <a:ln>
                      <a:noFill/>
                    </a:ln>
                  </pic:spPr>
                </pic:pic>
              </a:graphicData>
            </a:graphic>
          </wp:inline>
        </w:drawing>
      </w:r>
    </w:p>
    <w:p w14:paraId="78EA9D77">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00" w:lineRule="atLeast"/>
        <w:ind w:right="238" w:rightChars="0" w:firstLine="643" w:firstLineChars="200"/>
        <w:jc w:val="both"/>
        <w:textAlignment w:val="baseline"/>
        <w:rPr>
          <w:rFonts w:hint="eastAsia" w:ascii="仿宋_GB2312" w:hAnsi="仿宋_GB2312" w:eastAsia="仿宋_GB2312" w:cs="仿宋_GB2312"/>
          <w:b/>
          <w:bCs/>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8.个人荣誉（20分）</w:t>
      </w:r>
    </w:p>
    <w:p w14:paraId="7E2DFE14">
      <w:pPr>
        <w:keepNext w:val="0"/>
        <w:keepLines w:val="0"/>
        <w:pageBreakBefore w:val="0"/>
        <w:widowControl/>
        <w:suppressLineNumbers w:val="0"/>
        <w:kinsoku/>
        <w:wordWrap/>
        <w:overflowPunct/>
        <w:topLinePunct w:val="0"/>
        <w:autoSpaceDE/>
        <w:autoSpaceDN/>
        <w:bidi w:val="0"/>
        <w:adjustRightInd/>
        <w:snapToGrid/>
        <w:spacing w:line="500" w:lineRule="atLeast"/>
        <w:ind w:firstLine="640" w:firstLineChars="200"/>
        <w:jc w:val="both"/>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1）对本科期间曾获校级及以上荣誉、奖励界定为：优秀共产党员、优秀共青团员、优秀学生干部、优秀团干、三好学生标兵、三好学生、自强之星、最美大学生以及领导小组认定的其他校级及以上荣誉、奖励。国家级计15分，省级计10分，校级计２分。</w:t>
      </w:r>
    </w:p>
    <w:p w14:paraId="45794984">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6"/>
          <w:szCs w:val="36"/>
          <w:lang w:val="en-US" w:eastAsia="zh-CN" w:bidi="ar-SA"/>
        </w:rPr>
      </w:pPr>
      <w:r>
        <w:rPr>
          <w:rFonts w:hint="eastAsia" w:ascii="仿宋_GB2312" w:hAnsi="仿宋_GB2312" w:eastAsia="仿宋_GB2312" w:cs="仿宋_GB2312"/>
          <w:color w:val="000000"/>
          <w:kern w:val="0"/>
          <w:sz w:val="32"/>
          <w:szCs w:val="32"/>
          <w:lang w:val="en-US" w:eastAsia="zh-CN" w:bidi="ar-SA"/>
        </w:rPr>
        <w:t>（2）获得国家奖学金计10分，国家励志奖学金计3分。</w:t>
      </w:r>
    </w:p>
    <w:p w14:paraId="0DFC5F0C">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（3）参加体育文艺类活动获奖：国家级计10分，省级计５分。本项不累积计分，只取最高分。</w:t>
      </w:r>
    </w:p>
    <w:p w14:paraId="70992DA7">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highlight w:val="none"/>
          <w:lang w:val="en-US" w:eastAsia="zh-CN" w:bidi="ar-SA"/>
        </w:rPr>
      </w:pPr>
      <w:r>
        <w:rPr>
          <w:rFonts w:hint="eastAsia" w:ascii="仿宋_GB2312" w:hAnsi="仿宋_GB2312" w:eastAsia="仿宋_GB2312" w:cs="仿宋_GB2312"/>
          <w:color w:val="000000"/>
          <w:kern w:val="0"/>
          <w:sz w:val="32"/>
          <w:szCs w:val="32"/>
          <w:highlight w:val="none"/>
          <w:lang w:val="en-US" w:eastAsia="zh-CN" w:bidi="ar-SA"/>
        </w:rPr>
        <w:t>另根据2027年教育部、省教育考试院和学校通知有关推免生工作精神，综合评价学生的各方面表现，在如下方面作调整：</w:t>
      </w:r>
    </w:p>
    <w:p w14:paraId="330A32D8">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严格审核认定学生的特殊学术专长，学术专长原则上仅限学生本科阶段在高水平学术期刊以第一作者发表或与指导教师联合发表(限指导教师和学生分别为第一、二作者)与学科专业相关的科研论文，与指导教师合作的论文要求相关学生出具指导教师本人撰写并署名的推荐信，客观陈述学生在联合成果中的实际贡献，且论文必须于2026年9月1日前见刊（含网络见刊）。</w:t>
      </w:r>
    </w:p>
    <w:p w14:paraId="16C25449">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学生全国大学英语四级成绩≥425分或全国大学英语六级成绩≥425分，四、六级小语种成绩合格及以上，雅思成绩≥5.5分。</w:t>
      </w:r>
    </w:p>
    <w:p w14:paraId="7CECB1A6">
      <w:pPr>
        <w:pStyle w:val="4"/>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学生本人或作为合伙人创办企业，持股比例达30%及以上，自营业执照登记注册之日起合规经营满一年（含）以上，提交能够反映企业实际运营状况的经营性资金流水凭证；或创办企业在大学生创业专板挂牌上市、获投资基金累计实际到位达到10万元（人民币）及以上的；或获得湖南省“金种子杯”大学生创业大赛奖励奖项(参照全国赛)的，列入竞赛加分项目。</w:t>
      </w:r>
    </w:p>
    <w:p w14:paraId="3F2D777C">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3" w:firstLineChars="200"/>
        <w:jc w:val="both"/>
        <w:textAlignment w:val="baseline"/>
        <w:rPr>
          <w:rFonts w:hint="eastAsia" w:ascii="黑体" w:hAnsi="宋体" w:eastAsia="黑体" w:cs="黑体"/>
          <w:b/>
          <w:bCs/>
          <w:color w:val="000000"/>
          <w:kern w:val="0"/>
          <w:sz w:val="32"/>
          <w:szCs w:val="32"/>
          <w:lang w:val="en-US" w:eastAsia="zh-CN" w:bidi="ar-SA"/>
        </w:rPr>
      </w:pPr>
      <w:r>
        <w:rPr>
          <w:rFonts w:hint="default" w:ascii="黑体" w:hAnsi="宋体" w:eastAsia="黑体" w:cs="黑体"/>
          <w:b/>
          <w:bCs/>
          <w:color w:val="000000"/>
          <w:kern w:val="0"/>
          <w:sz w:val="32"/>
          <w:szCs w:val="32"/>
          <w:lang w:val="en-US" w:eastAsia="zh-CN" w:bidi="ar-SA"/>
        </w:rPr>
        <w:t>五、</w:t>
      </w:r>
      <w:r>
        <w:rPr>
          <w:rFonts w:hint="eastAsia" w:ascii="黑体" w:hAnsi="宋体" w:eastAsia="黑体" w:cs="黑体"/>
          <w:b/>
          <w:bCs/>
          <w:color w:val="000000"/>
          <w:kern w:val="0"/>
          <w:sz w:val="32"/>
          <w:szCs w:val="32"/>
          <w:lang w:val="en-US" w:eastAsia="zh-CN" w:bidi="ar-SA"/>
        </w:rPr>
        <w:t>其他</w:t>
      </w:r>
    </w:p>
    <w:p w14:paraId="6C0ABD6A">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84" w:beforeAutospacing="0" w:afterAutospacing="0" w:line="500" w:lineRule="atLeast"/>
        <w:ind w:right="240" w:rightChars="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b w:val="0"/>
          <w:bCs w:val="0"/>
          <w:color w:val="000000"/>
          <w:kern w:val="0"/>
          <w:sz w:val="32"/>
          <w:szCs w:val="32"/>
          <w:lang w:val="en-US" w:eastAsia="zh-CN" w:bidi="ar-SA"/>
        </w:rPr>
        <w:t>1.</w:t>
      </w:r>
      <w:r>
        <w:rPr>
          <w:rFonts w:hint="eastAsia" w:ascii="仿宋_GB2312" w:hAnsi="仿宋_GB2312" w:eastAsia="仿宋_GB2312" w:cs="仿宋_GB2312"/>
          <w:color w:val="000000"/>
          <w:kern w:val="0"/>
          <w:sz w:val="32"/>
          <w:szCs w:val="32"/>
          <w:lang w:val="en-US" w:eastAsia="zh-CN" w:bidi="ar-SA"/>
        </w:rPr>
        <w:t>学校鼓励学生自愿申请保留入学资格两年，担任本校本科生辅导员，人数不超过10人；鼓励学生自愿申请保留入学资格一年，参加研究生支教计划，人数不超过8人。</w:t>
      </w:r>
    </w:p>
    <w:p w14:paraId="39685991">
      <w:pPr>
        <w:pStyle w:val="4"/>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84" w:beforeAutospacing="0" w:afterAutospacing="0" w:line="500" w:lineRule="atLeast"/>
        <w:ind w:right="240" w:rightChars="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2.凡申请推免到我院最终确定被录取的，该生可以获得学院优秀生源奖5000元，并优先获评学校A类学业奖学金。</w:t>
      </w:r>
    </w:p>
    <w:p w14:paraId="7340DBF3">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3.对在申请推免过程中弄虚作假，有论文抄袭、虚报获奖或科研成果等学术不端行为或有其它严重影响推免过程和结果公正行为的学生，一经查实，取消推免资格，并根据《湖南农业大学预防与处理学术不端行为实施办法（试行）》（湘农大〔2016〕39号）处理。</w:t>
      </w:r>
    </w:p>
    <w:p w14:paraId="73EFADFC">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4.为确保推免工作公平公正，学院将建立健全回避制度，有直系亲属或其他利害相关者报名参加本校推免的工作人员，会主动申请回避；有非直系亲属等报名参加本校推免的，会主动向本校报备；本校教职工有子女参加本校推免的，应主动向学校报备，是领导干部的，将全程回避。学院将严格执行推免名额和选拔标准，不得擅自开展未经批准的推免项目、不得为仅符合单一或部分遴选条件的学生单列计划、不得擅自降低推免选拔标准。充分保障学生自主报考权，不得以任何形式限制推免生报考。充分保障学生知情权，畅通申诉渠道。</w:t>
      </w:r>
    </w:p>
    <w:p w14:paraId="15E57B62">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5.本细则自公布之日起开始实施，如学校当年政策有调整，按学校的规定执行，学院推免生工作小组负责解释。</w:t>
      </w:r>
    </w:p>
    <w:p w14:paraId="78231802">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附件1：《湖南农业大学2026年推免生候选人基本情况汇总表》</w:t>
      </w:r>
    </w:p>
    <w:p w14:paraId="761F8BB0">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right="240" w:firstLine="640" w:firstLineChars="200"/>
        <w:jc w:val="both"/>
        <w:textAlignment w:val="baseline"/>
        <w:rPr>
          <w:rFonts w:hint="eastAsia" w:ascii="仿宋" w:hAnsi="仿宋" w:eastAsia="仿宋" w:cs="仿宋"/>
          <w:snapToGrid w:val="0"/>
          <w:color w:val="auto"/>
          <w:spacing w:val="-11"/>
          <w:kern w:val="0"/>
          <w:sz w:val="33"/>
          <w:szCs w:val="33"/>
          <w:lang w:val="en-US" w:eastAsia="zh-CN"/>
        </w:rPr>
      </w:pPr>
      <w:r>
        <w:rPr>
          <w:rFonts w:hint="eastAsia" w:ascii="仿宋_GB2312" w:hAnsi="仿宋_GB2312" w:eastAsia="仿宋_GB2312" w:cs="仿宋_GB2312"/>
          <w:color w:val="000000"/>
          <w:kern w:val="0"/>
          <w:sz w:val="32"/>
          <w:szCs w:val="32"/>
          <w:lang w:val="en-US" w:eastAsia="zh-CN" w:bidi="ar-SA"/>
        </w:rPr>
        <w:t>附件2：《湖南农业大学推荐优秀应届本科毕业生免试攻读硕士学位研究生资格申请表》</w:t>
      </w:r>
    </w:p>
    <w:p w14:paraId="1FBB165A">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132" w:right="240" w:firstLine="420"/>
        <w:jc w:val="right"/>
        <w:textAlignment w:val="baseline"/>
        <w:rPr>
          <w:rFonts w:hint="eastAsia" w:ascii="仿宋" w:hAnsi="仿宋" w:eastAsia="仿宋" w:cs="仿宋"/>
          <w:snapToGrid w:val="0"/>
          <w:color w:val="000000"/>
          <w:spacing w:val="-11"/>
          <w:kern w:val="0"/>
          <w:sz w:val="33"/>
          <w:szCs w:val="33"/>
        </w:rPr>
      </w:pPr>
      <w:r>
        <w:rPr>
          <w:rFonts w:hint="eastAsia" w:ascii="仿宋" w:hAnsi="仿宋" w:eastAsia="仿宋" w:cs="仿宋"/>
          <w:snapToGrid w:val="0"/>
          <w:color w:val="000000"/>
          <w:spacing w:val="-11"/>
          <w:kern w:val="0"/>
          <w:sz w:val="33"/>
          <w:szCs w:val="33"/>
        </w:rPr>
        <w:t>湖南农业大学马克思主义学院</w:t>
      </w:r>
    </w:p>
    <w:p w14:paraId="4AA81658">
      <w:pPr>
        <w:pStyle w:val="4"/>
        <w:keepNext w:val="0"/>
        <w:keepLines w:val="0"/>
        <w:pageBreakBefore w:val="0"/>
        <w:widowControl/>
        <w:shd w:val="clear" w:color="auto" w:fill="FFFFFF"/>
        <w:kinsoku/>
        <w:wordWrap/>
        <w:overflowPunct/>
        <w:topLinePunct w:val="0"/>
        <w:autoSpaceDE/>
        <w:autoSpaceDN/>
        <w:bidi w:val="0"/>
        <w:adjustRightInd/>
        <w:snapToGrid/>
        <w:spacing w:before="84" w:beforeAutospacing="0" w:afterAutospacing="0" w:line="500" w:lineRule="atLeast"/>
        <w:ind w:left="132" w:right="240" w:firstLine="420"/>
        <w:jc w:val="center"/>
        <w:textAlignment w:val="baseline"/>
        <w:rPr>
          <w:rFonts w:hint="eastAsia" w:ascii="仿宋" w:hAnsi="仿宋" w:eastAsia="仿宋" w:cs="仿宋"/>
          <w:snapToGrid w:val="0"/>
          <w:color w:val="000000"/>
          <w:spacing w:val="-11"/>
          <w:kern w:val="0"/>
          <w:sz w:val="33"/>
          <w:szCs w:val="33"/>
        </w:rPr>
      </w:pPr>
      <w:r>
        <w:rPr>
          <w:rFonts w:hint="eastAsia" w:ascii="仿宋" w:hAnsi="仿宋" w:eastAsia="仿宋" w:cs="仿宋"/>
          <w:snapToGrid w:val="0"/>
          <w:color w:val="000000"/>
          <w:spacing w:val="-11"/>
          <w:kern w:val="0"/>
          <w:sz w:val="33"/>
          <w:szCs w:val="33"/>
          <w:lang w:val="en-US" w:eastAsia="zh-CN"/>
        </w:rPr>
        <w:t xml:space="preserve">                         </w:t>
      </w:r>
      <w:r>
        <w:rPr>
          <w:rFonts w:hint="eastAsia" w:ascii="仿宋" w:hAnsi="仿宋" w:eastAsia="仿宋" w:cs="仿宋"/>
          <w:snapToGrid w:val="0"/>
          <w:color w:val="000000"/>
          <w:spacing w:val="-11"/>
          <w:kern w:val="0"/>
          <w:sz w:val="33"/>
          <w:szCs w:val="33"/>
        </w:rPr>
        <w:t>202</w:t>
      </w:r>
      <w:r>
        <w:rPr>
          <w:rFonts w:hint="eastAsia" w:ascii="仿宋" w:hAnsi="仿宋" w:eastAsia="仿宋" w:cs="仿宋"/>
          <w:snapToGrid w:val="0"/>
          <w:color w:val="000000"/>
          <w:spacing w:val="-11"/>
          <w:kern w:val="0"/>
          <w:sz w:val="33"/>
          <w:szCs w:val="33"/>
          <w:lang w:val="en-US" w:eastAsia="zh-CN"/>
        </w:rPr>
        <w:t>6</w:t>
      </w:r>
      <w:r>
        <w:rPr>
          <w:rFonts w:hint="eastAsia" w:ascii="仿宋" w:hAnsi="仿宋" w:eastAsia="仿宋" w:cs="仿宋"/>
          <w:snapToGrid w:val="0"/>
          <w:color w:val="000000"/>
          <w:spacing w:val="-11"/>
          <w:kern w:val="0"/>
          <w:sz w:val="33"/>
          <w:szCs w:val="33"/>
        </w:rPr>
        <w:t>年9月</w:t>
      </w:r>
      <w:r>
        <w:rPr>
          <w:rFonts w:hint="eastAsia" w:ascii="仿宋" w:hAnsi="仿宋" w:eastAsia="仿宋" w:cs="仿宋"/>
          <w:snapToGrid w:val="0"/>
          <w:color w:val="000000"/>
          <w:spacing w:val="-11"/>
          <w:kern w:val="0"/>
          <w:sz w:val="33"/>
          <w:szCs w:val="33"/>
          <w:lang w:val="en-US" w:eastAsia="zh-CN"/>
        </w:rPr>
        <w:t>5</w:t>
      </w:r>
      <w:bookmarkStart w:id="0" w:name="_GoBack"/>
      <w:r>
        <w:rPr>
          <w:rFonts w:hint="eastAsia" w:ascii="仿宋" w:hAnsi="仿宋" w:eastAsia="仿宋" w:cs="仿宋"/>
          <w:snapToGrid w:val="0"/>
          <w:color w:val="000000"/>
          <w:spacing w:val="-11"/>
          <w:kern w:val="0"/>
          <w:sz w:val="33"/>
          <w:szCs w:val="33"/>
        </w:rPr>
        <w:t>日</w:t>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E53548E-7767-412C-9B4E-7AC22367F4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2DDD9B6A-67A6-4EE1-8103-5E612755B53E}"/>
  </w:font>
  <w:font w:name="仿宋_GB2312">
    <w:altName w:val="仿宋"/>
    <w:panose1 w:val="00000000000000000000"/>
    <w:charset w:val="00"/>
    <w:family w:val="auto"/>
    <w:pitch w:val="default"/>
    <w:sig w:usb0="00000000" w:usb1="00000000" w:usb2="00000000" w:usb3="00000000" w:csb0="00000000" w:csb1="00000000"/>
    <w:embedRegular r:id="rId3" w:fontKey="{93209432-00F1-4D5C-9219-CAC300400887}"/>
  </w:font>
  <w:font w:name="仿宋">
    <w:panose1 w:val="02010609060101010101"/>
    <w:charset w:val="86"/>
    <w:family w:val="auto"/>
    <w:pitch w:val="default"/>
    <w:sig w:usb0="800002BF" w:usb1="38CF7CFA" w:usb2="00000016" w:usb3="00000000" w:csb0="00040001" w:csb1="00000000"/>
    <w:embedRegular r:id="rId4" w:fontKey="{DE1FE716-DD4E-4D21-9FB4-F7FED60A8D27}"/>
  </w:font>
  <w:font w:name="楷体">
    <w:panose1 w:val="02010609060101010101"/>
    <w:charset w:val="86"/>
    <w:family w:val="auto"/>
    <w:pitch w:val="default"/>
    <w:sig w:usb0="800002BF" w:usb1="38CF7CFA" w:usb2="00000016" w:usb3="00000000" w:csb0="00040001" w:csb1="00000000"/>
    <w:embedRegular r:id="rId5" w:fontKey="{D5490EA6-39AF-4C20-858B-A046E768C0DA}"/>
  </w:font>
  <w:font w:name="方正仿宋_GB2312">
    <w:panose1 w:val="02000000000000000000"/>
    <w:charset w:val="86"/>
    <w:family w:val="auto"/>
    <w:pitch w:val="default"/>
    <w:sig w:usb0="A00002BF" w:usb1="184F6CFA" w:usb2="00000012" w:usb3="00000000" w:csb0="00040001" w:csb1="00000000"/>
    <w:embedRegular r:id="rId6" w:fontKey="{3A979E1E-ECA9-4BF3-8632-47A957B5B135}"/>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C5EFAC"/>
    <w:multiLevelType w:val="singleLevel"/>
    <w:tmpl w:val="BDC5EFA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733ABB"/>
    <w:rsid w:val="0E6F5874"/>
    <w:rsid w:val="118F1EFA"/>
    <w:rsid w:val="1ACE0F00"/>
    <w:rsid w:val="1B951DCE"/>
    <w:rsid w:val="1D3C1D18"/>
    <w:rsid w:val="239B7C54"/>
    <w:rsid w:val="347D0983"/>
    <w:rsid w:val="3885042B"/>
    <w:rsid w:val="3D97355F"/>
    <w:rsid w:val="3F6B49BC"/>
    <w:rsid w:val="429B34DD"/>
    <w:rsid w:val="429D219D"/>
    <w:rsid w:val="43202095"/>
    <w:rsid w:val="4F9E7FB1"/>
    <w:rsid w:val="507C6B03"/>
    <w:rsid w:val="52DB0E78"/>
    <w:rsid w:val="57551047"/>
    <w:rsid w:val="592E6D89"/>
    <w:rsid w:val="59B77A5A"/>
    <w:rsid w:val="5F7F5E54"/>
    <w:rsid w:val="649A7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3">
    <w:name w:val="heading 3"/>
    <w:basedOn w:val="1"/>
    <w:next w:val="1"/>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4">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3434</Words>
  <Characters>3582</Characters>
  <Paragraphs>62</Paragraphs>
  <TotalTime>344</TotalTime>
  <ScaleCrop>false</ScaleCrop>
  <LinksUpToDate>false</LinksUpToDate>
  <CharactersWithSpaces>3659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2024-09-11T14:49:00Z</dcterms:created>
  <dc:creator>hyc</dc:creator>
  <cp:lastModifiedBy>黄佳彦</cp:lastModifiedBy>
  <cp:lastPrinted>2025-09-09T11:44:00Z</cp:lastPrinted>
  <dcterms:modified xsi:type="dcterms:W3CDTF">2026-09-05T11:00:23Z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AB29F56B06624D518DEEB92E68154B1E_13</vt:lpwstr>
  </property>
  <property fmtid="{D5CDD505-2E9C-101B-9397-08002B2CF9AE}" pid="4" name="KSOTemplateDocerSaveRecord">
    <vt:lpwstr>eyJoZGlkIjoiZTMzYzkzODBhNzJhMzM2MjI1ZjljNTkyNDlmZjUyNWMiLCJ1c2VySWQiOiIxODY0OTgyODA2In0=</vt:lpwstr>
  </property>
</Properties>
</file>